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AE" w:rsidRDefault="004361DE">
      <w:pPr>
        <w:spacing w:after="0" w:line="259" w:lineRule="auto"/>
        <w:ind w:left="2340" w:right="0" w:firstLine="0"/>
      </w:pPr>
      <w:r>
        <w:rPr>
          <w:noProof/>
        </w:rPr>
        <w:drawing>
          <wp:inline distT="0" distB="0" distL="0" distR="0">
            <wp:extent cx="2857500" cy="352044"/>
            <wp:effectExtent l="0" t="0" r="0" b="0"/>
            <wp:docPr id="84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CAE" w:rsidRDefault="004361DE">
      <w:pPr>
        <w:spacing w:after="0" w:line="259" w:lineRule="auto"/>
        <w:ind w:left="0" w:right="2098" w:firstLine="0"/>
      </w:pPr>
      <w:r>
        <w:rPr>
          <w:b/>
        </w:rPr>
        <w:t xml:space="preserve"> </w:t>
      </w:r>
    </w:p>
    <w:p w:rsidR="00C87CAE" w:rsidRDefault="004361DE">
      <w:pPr>
        <w:spacing w:after="0" w:line="244" w:lineRule="auto"/>
        <w:ind w:left="0" w:right="4346" w:firstLine="0"/>
      </w:pPr>
      <w:r>
        <w:rPr>
          <w:b/>
        </w:rPr>
        <w:t xml:space="preserve"> </w:t>
      </w:r>
      <w:r>
        <w:rPr>
          <w:b/>
          <w:i/>
          <w:color w:val="FF0000"/>
        </w:rPr>
        <w:t xml:space="preserve"> </w:t>
      </w:r>
    </w:p>
    <w:p w:rsidR="00C87CAE" w:rsidRDefault="004361DE">
      <w:pPr>
        <w:spacing w:after="0" w:line="259" w:lineRule="auto"/>
        <w:ind w:left="4462" w:right="0" w:firstLine="0"/>
        <w:jc w:val="center"/>
      </w:pPr>
      <w:r>
        <w:rPr>
          <w:b/>
        </w:rPr>
        <w:t xml:space="preserve"> </w:t>
      </w:r>
    </w:p>
    <w:p w:rsidR="00C87CAE" w:rsidRDefault="004361DE">
      <w:pPr>
        <w:spacing w:after="0" w:line="259" w:lineRule="auto"/>
        <w:ind w:left="0" w:right="705" w:firstLine="0"/>
        <w:jc w:val="right"/>
      </w:pPr>
      <w:r>
        <w:rPr>
          <w:b/>
        </w:rPr>
        <w:t>PRESSMEDDELANDE nr</w:t>
      </w:r>
      <w:r w:rsidR="00325620">
        <w:rPr>
          <w:b/>
          <w:color w:val="auto"/>
        </w:rPr>
        <w:t>. 24</w:t>
      </w:r>
      <w:r w:rsidRPr="00FF2EA2">
        <w:rPr>
          <w:b/>
          <w:color w:val="auto"/>
        </w:rPr>
        <w:t xml:space="preserve">, </w:t>
      </w:r>
      <w:r>
        <w:rPr>
          <w:b/>
        </w:rPr>
        <w:t xml:space="preserve">2015 </w:t>
      </w:r>
    </w:p>
    <w:p w:rsidR="00C87CAE" w:rsidRDefault="004361D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C87CAE" w:rsidRDefault="00325620">
      <w:pPr>
        <w:spacing w:after="0" w:line="259" w:lineRule="auto"/>
        <w:ind w:left="-5" w:right="0"/>
      </w:pPr>
      <w:r>
        <w:rPr>
          <w:b/>
        </w:rPr>
        <w:t>Stockholm den 22 oktober</w:t>
      </w:r>
      <w:r w:rsidR="004361DE">
        <w:rPr>
          <w:b/>
        </w:rPr>
        <w:t xml:space="preserve"> 2015 </w:t>
      </w:r>
    </w:p>
    <w:p w:rsidR="00C87CAE" w:rsidRDefault="004361D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C87CAE" w:rsidRDefault="004361DE">
      <w:pPr>
        <w:spacing w:after="17" w:line="259" w:lineRule="auto"/>
        <w:ind w:left="0" w:right="0" w:firstLine="0"/>
      </w:pPr>
      <w:r>
        <w:t xml:space="preserve"> </w:t>
      </w:r>
    </w:p>
    <w:p w:rsidR="00C87CAE" w:rsidRDefault="004361DE">
      <w:pPr>
        <w:pStyle w:val="Rubrik1"/>
      </w:pPr>
      <w:r>
        <w:t xml:space="preserve">DELÅRSRAPPORT FÖR PERIODEN </w:t>
      </w:r>
      <w:proofErr w:type="gramStart"/>
      <w:r>
        <w:t>JANUARI-</w:t>
      </w:r>
      <w:r w:rsidR="00325620">
        <w:t>SEPTEMBER</w:t>
      </w:r>
      <w:proofErr w:type="gramEnd"/>
      <w:r w:rsidR="00325620">
        <w:t xml:space="preserve"> </w:t>
      </w:r>
      <w:r>
        <w:t>2015</w:t>
      </w:r>
    </w:p>
    <w:p w:rsidR="009322FB" w:rsidRPr="00325620" w:rsidRDefault="009322FB" w:rsidP="009322FB">
      <w:pPr>
        <w:pStyle w:val="Default"/>
        <w:spacing w:line="157" w:lineRule="atLeas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325620" w:rsidRPr="00325620" w:rsidRDefault="00325620" w:rsidP="00325620">
      <w:pPr>
        <w:autoSpaceDE w:val="0"/>
        <w:autoSpaceDN w:val="0"/>
        <w:adjustRightInd w:val="0"/>
        <w:spacing w:after="0" w:line="157" w:lineRule="atLeast"/>
        <w:ind w:left="0" w:right="0" w:firstLine="0"/>
        <w:rPr>
          <w:rFonts w:eastAsiaTheme="minorEastAsia"/>
          <w:color w:val="auto"/>
          <w:szCs w:val="20"/>
        </w:rPr>
      </w:pPr>
      <w:r w:rsidRPr="00325620">
        <w:rPr>
          <w:rFonts w:eastAsiaTheme="minorEastAsia"/>
          <w:b/>
          <w:bCs/>
          <w:color w:val="auto"/>
          <w:szCs w:val="20"/>
        </w:rPr>
        <w:t>JANUARI-SEPTEMBER 2015</w:t>
      </w:r>
    </w:p>
    <w:p w:rsidR="00325620" w:rsidRPr="00325620" w:rsidRDefault="00325620" w:rsidP="00325620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after="0" w:line="171" w:lineRule="atLeast"/>
        <w:ind w:right="0"/>
        <w:rPr>
          <w:rFonts w:eastAsiaTheme="minorEastAsia"/>
          <w:color w:val="auto"/>
          <w:szCs w:val="20"/>
        </w:rPr>
      </w:pPr>
      <w:r w:rsidRPr="00325620">
        <w:rPr>
          <w:rFonts w:eastAsiaTheme="minorEastAsia"/>
          <w:color w:val="auto"/>
          <w:szCs w:val="20"/>
        </w:rPr>
        <w:t>Hyresintäkterna ökade med 17 % till 947 miljoner kronor (806 miljoner kronor föregående år).</w:t>
      </w:r>
    </w:p>
    <w:p w:rsidR="00325620" w:rsidRPr="00325620" w:rsidRDefault="00325620" w:rsidP="00325620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after="0" w:line="171" w:lineRule="atLeast"/>
        <w:ind w:right="0"/>
        <w:rPr>
          <w:rFonts w:eastAsiaTheme="minorEastAsia"/>
          <w:color w:val="auto"/>
          <w:szCs w:val="20"/>
        </w:rPr>
      </w:pPr>
      <w:r w:rsidRPr="00325620">
        <w:rPr>
          <w:rFonts w:eastAsiaTheme="minorEastAsia"/>
          <w:color w:val="auto"/>
          <w:szCs w:val="20"/>
        </w:rPr>
        <w:t>Förvaltningsresultatet ökade med 26 % till 654 (518) mil</w:t>
      </w:r>
      <w:r w:rsidRPr="00325620">
        <w:rPr>
          <w:rFonts w:eastAsiaTheme="minorEastAsia"/>
          <w:color w:val="auto"/>
          <w:szCs w:val="20"/>
        </w:rPr>
        <w:softHyphen/>
        <w:t>joner kronor. Förvaltningsresultatet per stamaktie efter ut</w:t>
      </w:r>
      <w:r w:rsidRPr="00325620">
        <w:rPr>
          <w:rFonts w:eastAsiaTheme="minorEastAsia"/>
          <w:color w:val="auto"/>
          <w:szCs w:val="20"/>
        </w:rPr>
        <w:softHyphen/>
        <w:t xml:space="preserve">spädning ökade med 29 % till 3,57 (2,76) kronor. Periodens resultat har belastats med kostnader om 28 miljoner kronor av engångskaraktär i samband med </w:t>
      </w:r>
      <w:proofErr w:type="spellStart"/>
      <w:r w:rsidRPr="00325620">
        <w:rPr>
          <w:rFonts w:eastAsiaTheme="minorEastAsia"/>
          <w:color w:val="auto"/>
          <w:szCs w:val="20"/>
        </w:rPr>
        <w:t>förtida</w:t>
      </w:r>
      <w:proofErr w:type="spellEnd"/>
      <w:r w:rsidRPr="00325620">
        <w:rPr>
          <w:rFonts w:eastAsiaTheme="minorEastAsia"/>
          <w:color w:val="auto"/>
          <w:szCs w:val="20"/>
        </w:rPr>
        <w:t xml:space="preserve"> refinansieringar.</w:t>
      </w:r>
    </w:p>
    <w:p w:rsidR="00325620" w:rsidRPr="00325620" w:rsidRDefault="00325620" w:rsidP="00325620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after="0" w:line="171" w:lineRule="atLeast"/>
        <w:ind w:right="0"/>
        <w:rPr>
          <w:rFonts w:eastAsiaTheme="minorEastAsia"/>
          <w:color w:val="auto"/>
          <w:szCs w:val="20"/>
        </w:rPr>
      </w:pPr>
      <w:r w:rsidRPr="00325620">
        <w:rPr>
          <w:rFonts w:eastAsiaTheme="minorEastAsia"/>
          <w:color w:val="auto"/>
          <w:szCs w:val="20"/>
        </w:rPr>
        <w:t xml:space="preserve">Omvärdering av fastigheter påverkade resultatet med totalt 472 (295) miljoner kronor, varav 130 (263) miljoner kronor från joint </w:t>
      </w:r>
      <w:proofErr w:type="spellStart"/>
      <w:r w:rsidRPr="00325620">
        <w:rPr>
          <w:rFonts w:eastAsiaTheme="minorEastAsia"/>
          <w:color w:val="auto"/>
          <w:szCs w:val="20"/>
        </w:rPr>
        <w:t>ventures</w:t>
      </w:r>
      <w:proofErr w:type="spellEnd"/>
      <w:r w:rsidRPr="00325620">
        <w:rPr>
          <w:rFonts w:eastAsiaTheme="minorEastAsia"/>
          <w:color w:val="auto"/>
          <w:szCs w:val="20"/>
        </w:rPr>
        <w:t>.</w:t>
      </w:r>
    </w:p>
    <w:p w:rsidR="00325620" w:rsidRPr="00325620" w:rsidRDefault="00325620" w:rsidP="00325620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after="0" w:line="171" w:lineRule="atLeast"/>
        <w:ind w:right="0"/>
        <w:rPr>
          <w:rFonts w:eastAsiaTheme="minorEastAsia"/>
          <w:color w:val="auto"/>
          <w:szCs w:val="20"/>
        </w:rPr>
      </w:pPr>
      <w:r w:rsidRPr="00325620">
        <w:rPr>
          <w:rFonts w:eastAsiaTheme="minorEastAsia"/>
          <w:color w:val="auto"/>
          <w:szCs w:val="20"/>
        </w:rPr>
        <w:t>Omvärdering av räntederivat påverkade resultatet med totalt 1 (</w:t>
      </w:r>
      <w:proofErr w:type="gramStart"/>
      <w:r w:rsidRPr="00325620">
        <w:rPr>
          <w:rFonts w:eastAsiaTheme="minorEastAsia"/>
          <w:color w:val="auto"/>
          <w:szCs w:val="20"/>
        </w:rPr>
        <w:t>–357</w:t>
      </w:r>
      <w:proofErr w:type="gramEnd"/>
      <w:r w:rsidRPr="00325620">
        <w:rPr>
          <w:rFonts w:eastAsiaTheme="minorEastAsia"/>
          <w:color w:val="auto"/>
          <w:szCs w:val="20"/>
        </w:rPr>
        <w:t xml:space="preserve">) miljon kronor, varav 12 (–156) miljoner kronor från joint </w:t>
      </w:r>
      <w:proofErr w:type="spellStart"/>
      <w:r w:rsidRPr="00325620">
        <w:rPr>
          <w:rFonts w:eastAsiaTheme="minorEastAsia"/>
          <w:color w:val="auto"/>
          <w:szCs w:val="20"/>
        </w:rPr>
        <w:t>ventures</w:t>
      </w:r>
      <w:proofErr w:type="spellEnd"/>
      <w:r w:rsidRPr="00325620">
        <w:rPr>
          <w:rFonts w:eastAsiaTheme="minorEastAsia"/>
          <w:color w:val="auto"/>
          <w:szCs w:val="20"/>
        </w:rPr>
        <w:t>.</w:t>
      </w:r>
    </w:p>
    <w:p w:rsidR="00325620" w:rsidRPr="00325620" w:rsidRDefault="00325620" w:rsidP="00325620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after="0" w:line="171" w:lineRule="atLeast"/>
        <w:ind w:right="0"/>
        <w:rPr>
          <w:rFonts w:eastAsiaTheme="minorEastAsia"/>
          <w:color w:val="auto"/>
          <w:szCs w:val="20"/>
        </w:rPr>
      </w:pPr>
      <w:r w:rsidRPr="00325620">
        <w:rPr>
          <w:rFonts w:eastAsiaTheme="minorEastAsia"/>
          <w:color w:val="auto"/>
          <w:szCs w:val="20"/>
        </w:rPr>
        <w:t>Periodens resultat efter skatt uppgick till 876 (354) miljoner kronor motsvarande 4,96 (1,73) kronor per stamaktie efter utspädning.</w:t>
      </w:r>
    </w:p>
    <w:p w:rsidR="00325620" w:rsidRPr="00325620" w:rsidRDefault="00325620" w:rsidP="00325620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after="0" w:line="171" w:lineRule="atLeast"/>
        <w:ind w:right="0"/>
        <w:rPr>
          <w:rFonts w:eastAsiaTheme="minorEastAsia"/>
          <w:color w:val="auto"/>
          <w:szCs w:val="20"/>
        </w:rPr>
      </w:pPr>
      <w:r w:rsidRPr="00325620">
        <w:rPr>
          <w:rFonts w:eastAsiaTheme="minorEastAsia"/>
          <w:color w:val="auto"/>
          <w:szCs w:val="20"/>
        </w:rPr>
        <w:t xml:space="preserve">Kassaflödet från den löpande verksamheten före förändring av rörelsekapital uppgick till 516 (437) miljoner kronor motsvarande 2,70 (2,18) kronor per stamaktie efter utspädning. </w:t>
      </w:r>
    </w:p>
    <w:p w:rsidR="00325620" w:rsidRDefault="00325620" w:rsidP="00325620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after="0" w:line="171" w:lineRule="atLeast"/>
        <w:ind w:right="0"/>
        <w:rPr>
          <w:rFonts w:eastAsiaTheme="minorEastAsia"/>
          <w:color w:val="auto"/>
          <w:szCs w:val="20"/>
        </w:rPr>
      </w:pPr>
      <w:proofErr w:type="spellStart"/>
      <w:r w:rsidRPr="00325620">
        <w:rPr>
          <w:rFonts w:eastAsiaTheme="minorEastAsia"/>
          <w:color w:val="auto"/>
          <w:szCs w:val="20"/>
        </w:rPr>
        <w:t>Sagax</w:t>
      </w:r>
      <w:proofErr w:type="spellEnd"/>
      <w:r w:rsidRPr="00325620">
        <w:rPr>
          <w:rFonts w:eastAsiaTheme="minorEastAsia"/>
          <w:color w:val="auto"/>
          <w:szCs w:val="20"/>
        </w:rPr>
        <w:t xml:space="preserve"> har under perioden </w:t>
      </w:r>
      <w:proofErr w:type="spellStart"/>
      <w:r w:rsidRPr="00325620">
        <w:rPr>
          <w:rFonts w:eastAsiaTheme="minorEastAsia"/>
          <w:color w:val="auto"/>
          <w:szCs w:val="20"/>
        </w:rPr>
        <w:t>nettoinvesterat</w:t>
      </w:r>
      <w:proofErr w:type="spellEnd"/>
      <w:r w:rsidRPr="00325620">
        <w:rPr>
          <w:rFonts w:eastAsiaTheme="minorEastAsia"/>
          <w:color w:val="auto"/>
          <w:szCs w:val="20"/>
        </w:rPr>
        <w:t xml:space="preserve"> 1 612 (1 314) mil</w:t>
      </w:r>
      <w:r w:rsidRPr="00325620">
        <w:rPr>
          <w:rFonts w:eastAsiaTheme="minorEastAsia"/>
          <w:color w:val="auto"/>
          <w:szCs w:val="20"/>
        </w:rPr>
        <w:softHyphen/>
        <w:t>joner kronor, varav 1 492 miljoner kronor avsåg förvärv av 20 fastigheter.</w:t>
      </w:r>
    </w:p>
    <w:p w:rsidR="00325620" w:rsidRPr="00325620" w:rsidRDefault="00325620" w:rsidP="00325620">
      <w:pPr>
        <w:pStyle w:val="Liststycke"/>
        <w:autoSpaceDE w:val="0"/>
        <w:autoSpaceDN w:val="0"/>
        <w:adjustRightInd w:val="0"/>
        <w:spacing w:after="0" w:line="171" w:lineRule="atLeast"/>
        <w:ind w:right="0" w:firstLine="0"/>
        <w:rPr>
          <w:rFonts w:eastAsiaTheme="minorEastAsia"/>
          <w:color w:val="auto"/>
          <w:szCs w:val="20"/>
        </w:rPr>
      </w:pPr>
    </w:p>
    <w:p w:rsidR="00325620" w:rsidRPr="00325620" w:rsidRDefault="00325620" w:rsidP="00325620">
      <w:pPr>
        <w:autoSpaceDE w:val="0"/>
        <w:autoSpaceDN w:val="0"/>
        <w:adjustRightInd w:val="0"/>
        <w:spacing w:after="0" w:line="157" w:lineRule="atLeast"/>
        <w:ind w:left="0" w:right="0" w:firstLine="0"/>
        <w:rPr>
          <w:rFonts w:eastAsiaTheme="minorEastAsia"/>
          <w:color w:val="auto"/>
          <w:szCs w:val="20"/>
        </w:rPr>
      </w:pPr>
      <w:r w:rsidRPr="00325620">
        <w:rPr>
          <w:rFonts w:eastAsiaTheme="minorEastAsia"/>
          <w:b/>
          <w:bCs/>
          <w:color w:val="auto"/>
          <w:szCs w:val="20"/>
        </w:rPr>
        <w:t>TREDJE KVARTALET 2015</w:t>
      </w:r>
    </w:p>
    <w:p w:rsidR="00325620" w:rsidRPr="00325620" w:rsidRDefault="00325620" w:rsidP="00325620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171" w:lineRule="atLeast"/>
        <w:ind w:right="0"/>
        <w:rPr>
          <w:rFonts w:eastAsiaTheme="minorEastAsia"/>
          <w:color w:val="auto"/>
          <w:szCs w:val="20"/>
        </w:rPr>
      </w:pPr>
      <w:r w:rsidRPr="00325620">
        <w:rPr>
          <w:rFonts w:eastAsiaTheme="minorEastAsia"/>
          <w:color w:val="auto"/>
          <w:szCs w:val="20"/>
        </w:rPr>
        <w:t>Hyresintäkterna ökade med 18 % till 330 miljoner kronor (280 miljoner kronor föregående år).</w:t>
      </w:r>
    </w:p>
    <w:p w:rsidR="00325620" w:rsidRPr="00325620" w:rsidRDefault="00325620" w:rsidP="00325620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171" w:lineRule="atLeast"/>
        <w:ind w:right="0"/>
        <w:rPr>
          <w:rFonts w:eastAsiaTheme="minorEastAsia"/>
          <w:color w:val="auto"/>
          <w:szCs w:val="20"/>
        </w:rPr>
      </w:pPr>
      <w:r w:rsidRPr="00325620">
        <w:rPr>
          <w:rFonts w:eastAsiaTheme="minorEastAsia"/>
          <w:color w:val="auto"/>
          <w:szCs w:val="20"/>
        </w:rPr>
        <w:t>Förvaltningsresultatet ökade med 30 % till 259 (199) miljo</w:t>
      </w:r>
      <w:r w:rsidRPr="00325620">
        <w:rPr>
          <w:rFonts w:eastAsiaTheme="minorEastAsia"/>
          <w:color w:val="auto"/>
          <w:szCs w:val="20"/>
        </w:rPr>
        <w:softHyphen/>
        <w:t xml:space="preserve">ner kronor. </w:t>
      </w:r>
    </w:p>
    <w:p w:rsidR="00325620" w:rsidRPr="00325620" w:rsidRDefault="00325620" w:rsidP="00325620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171" w:lineRule="atLeast"/>
        <w:ind w:right="0"/>
        <w:rPr>
          <w:rFonts w:eastAsiaTheme="minorEastAsia"/>
          <w:color w:val="auto"/>
          <w:szCs w:val="20"/>
        </w:rPr>
      </w:pPr>
      <w:r w:rsidRPr="00325620">
        <w:rPr>
          <w:rFonts w:eastAsiaTheme="minorEastAsia"/>
          <w:color w:val="auto"/>
          <w:szCs w:val="20"/>
        </w:rPr>
        <w:t xml:space="preserve">Omvärdering av fastigheter påverkade resultatet med totalt 41 (37) miljoner kronor, varav 41 (26) miljoner kronor från joint </w:t>
      </w:r>
      <w:proofErr w:type="spellStart"/>
      <w:r w:rsidRPr="00325620">
        <w:rPr>
          <w:rFonts w:eastAsiaTheme="minorEastAsia"/>
          <w:color w:val="auto"/>
          <w:szCs w:val="20"/>
        </w:rPr>
        <w:t>ventures</w:t>
      </w:r>
      <w:proofErr w:type="spellEnd"/>
      <w:r w:rsidRPr="00325620">
        <w:rPr>
          <w:rFonts w:eastAsiaTheme="minorEastAsia"/>
          <w:color w:val="auto"/>
          <w:szCs w:val="20"/>
        </w:rPr>
        <w:t>.</w:t>
      </w:r>
    </w:p>
    <w:p w:rsidR="00325620" w:rsidRPr="00325620" w:rsidRDefault="00325620" w:rsidP="00325620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171" w:lineRule="atLeast"/>
        <w:ind w:right="0"/>
        <w:rPr>
          <w:rFonts w:eastAsiaTheme="minorEastAsia"/>
          <w:color w:val="auto"/>
          <w:szCs w:val="20"/>
        </w:rPr>
      </w:pPr>
      <w:r w:rsidRPr="00325620">
        <w:rPr>
          <w:rFonts w:eastAsiaTheme="minorEastAsia"/>
          <w:color w:val="auto"/>
          <w:szCs w:val="20"/>
        </w:rPr>
        <w:t xml:space="preserve">Omvärdering av räntederivat påverkade resultatet med totalt </w:t>
      </w:r>
      <w:proofErr w:type="gramStart"/>
      <w:r w:rsidRPr="00325620">
        <w:rPr>
          <w:rFonts w:eastAsiaTheme="minorEastAsia"/>
          <w:color w:val="auto"/>
          <w:szCs w:val="20"/>
        </w:rPr>
        <w:t>–86</w:t>
      </w:r>
      <w:proofErr w:type="gramEnd"/>
      <w:r w:rsidRPr="00325620">
        <w:rPr>
          <w:rFonts w:eastAsiaTheme="minorEastAsia"/>
          <w:color w:val="auto"/>
          <w:szCs w:val="20"/>
        </w:rPr>
        <w:t xml:space="preserve"> (–96) miljoner kronor, varav –33 (–48) miljoner kronor från joint </w:t>
      </w:r>
      <w:proofErr w:type="spellStart"/>
      <w:r w:rsidRPr="00325620">
        <w:rPr>
          <w:rFonts w:eastAsiaTheme="minorEastAsia"/>
          <w:color w:val="auto"/>
          <w:szCs w:val="20"/>
        </w:rPr>
        <w:t>ventures</w:t>
      </w:r>
      <w:proofErr w:type="spellEnd"/>
      <w:r w:rsidRPr="00325620">
        <w:rPr>
          <w:rFonts w:eastAsiaTheme="minorEastAsia"/>
          <w:color w:val="auto"/>
          <w:szCs w:val="20"/>
        </w:rPr>
        <w:t>.</w:t>
      </w:r>
    </w:p>
    <w:p w:rsidR="00325620" w:rsidRPr="00325620" w:rsidRDefault="00325620" w:rsidP="00325620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171" w:lineRule="atLeast"/>
        <w:ind w:right="0"/>
        <w:rPr>
          <w:rFonts w:eastAsiaTheme="minorEastAsia"/>
          <w:color w:val="auto"/>
          <w:szCs w:val="20"/>
        </w:rPr>
      </w:pPr>
      <w:r w:rsidRPr="00325620">
        <w:rPr>
          <w:rFonts w:eastAsiaTheme="minorEastAsia"/>
          <w:color w:val="auto"/>
          <w:szCs w:val="20"/>
        </w:rPr>
        <w:t>Periodens resultat efter skatt uppgick till 154 (105) miljoner kronor.</w:t>
      </w:r>
    </w:p>
    <w:p w:rsidR="00325620" w:rsidRPr="00325620" w:rsidRDefault="00325620" w:rsidP="00325620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171" w:lineRule="atLeast"/>
        <w:ind w:right="0"/>
        <w:rPr>
          <w:rFonts w:eastAsiaTheme="minorEastAsia"/>
          <w:color w:val="auto"/>
          <w:szCs w:val="20"/>
        </w:rPr>
      </w:pPr>
      <w:r w:rsidRPr="00325620">
        <w:rPr>
          <w:rFonts w:eastAsiaTheme="minorEastAsia"/>
          <w:color w:val="auto"/>
          <w:szCs w:val="20"/>
        </w:rPr>
        <w:t>Kassaflödet från den löpande verksamheten före förändring av rörelsekapital uppgick till 193 (180) miljoner kronor.</w:t>
      </w:r>
    </w:p>
    <w:p w:rsidR="00325620" w:rsidRDefault="00325620" w:rsidP="00325620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171" w:lineRule="atLeast"/>
        <w:ind w:right="0"/>
        <w:rPr>
          <w:rFonts w:eastAsiaTheme="minorEastAsia"/>
          <w:color w:val="auto"/>
          <w:szCs w:val="20"/>
        </w:rPr>
      </w:pPr>
      <w:proofErr w:type="spellStart"/>
      <w:r w:rsidRPr="00325620">
        <w:rPr>
          <w:rFonts w:eastAsiaTheme="minorEastAsia"/>
          <w:color w:val="auto"/>
          <w:szCs w:val="20"/>
        </w:rPr>
        <w:t>Sagax</w:t>
      </w:r>
      <w:proofErr w:type="spellEnd"/>
      <w:r w:rsidRPr="00325620">
        <w:rPr>
          <w:rFonts w:eastAsiaTheme="minorEastAsia"/>
          <w:color w:val="auto"/>
          <w:szCs w:val="20"/>
        </w:rPr>
        <w:t xml:space="preserve"> har under det tredje kvartalet </w:t>
      </w:r>
      <w:proofErr w:type="spellStart"/>
      <w:r w:rsidRPr="00325620">
        <w:rPr>
          <w:rFonts w:eastAsiaTheme="minorEastAsia"/>
          <w:color w:val="auto"/>
          <w:szCs w:val="20"/>
        </w:rPr>
        <w:t>nettoinvesterat</w:t>
      </w:r>
      <w:proofErr w:type="spellEnd"/>
      <w:r w:rsidRPr="00325620">
        <w:rPr>
          <w:rFonts w:eastAsiaTheme="minorEastAsia"/>
          <w:color w:val="auto"/>
          <w:szCs w:val="20"/>
        </w:rPr>
        <w:t xml:space="preserve"> 842 (248) miljoner kronor, varav 794 miljoner kronor avsåg för</w:t>
      </w:r>
      <w:r w:rsidRPr="00325620">
        <w:rPr>
          <w:rFonts w:eastAsiaTheme="minorEastAsia"/>
          <w:color w:val="auto"/>
          <w:szCs w:val="20"/>
        </w:rPr>
        <w:softHyphen/>
        <w:t>värv av tre fastigheter.</w:t>
      </w:r>
    </w:p>
    <w:p w:rsidR="00325620" w:rsidRPr="00325620" w:rsidRDefault="00325620" w:rsidP="00546EAB">
      <w:pPr>
        <w:pStyle w:val="Liststycke"/>
        <w:autoSpaceDE w:val="0"/>
        <w:autoSpaceDN w:val="0"/>
        <w:adjustRightInd w:val="0"/>
        <w:spacing w:after="0" w:line="171" w:lineRule="atLeast"/>
        <w:ind w:right="0" w:firstLine="0"/>
        <w:rPr>
          <w:rFonts w:eastAsiaTheme="minorEastAsia"/>
          <w:color w:val="auto"/>
          <w:szCs w:val="20"/>
        </w:rPr>
      </w:pPr>
    </w:p>
    <w:p w:rsidR="00325620" w:rsidRPr="00325620" w:rsidRDefault="00325620" w:rsidP="00325620">
      <w:pPr>
        <w:autoSpaceDE w:val="0"/>
        <w:autoSpaceDN w:val="0"/>
        <w:adjustRightInd w:val="0"/>
        <w:spacing w:after="0" w:line="157" w:lineRule="atLeast"/>
        <w:ind w:left="0" w:right="0" w:firstLine="0"/>
        <w:rPr>
          <w:rFonts w:eastAsiaTheme="minorEastAsia"/>
          <w:color w:val="auto"/>
          <w:szCs w:val="20"/>
        </w:rPr>
      </w:pPr>
      <w:r w:rsidRPr="00325620">
        <w:rPr>
          <w:rFonts w:eastAsiaTheme="minorEastAsia"/>
          <w:b/>
          <w:bCs/>
          <w:color w:val="auto"/>
          <w:szCs w:val="20"/>
        </w:rPr>
        <w:t>JUSTERAD PROGNOS FÖR 2015</w:t>
      </w:r>
    </w:p>
    <w:p w:rsidR="009322FB" w:rsidRPr="009322FB" w:rsidRDefault="00325620" w:rsidP="00325620">
      <w:pPr>
        <w:pStyle w:val="Default"/>
        <w:spacing w:line="157" w:lineRule="atLeast"/>
        <w:rPr>
          <w:rFonts w:eastAsia="MyriadPro-Regular"/>
          <w:szCs w:val="20"/>
        </w:rPr>
      </w:pPr>
      <w:r w:rsidRPr="00325620">
        <w:rPr>
          <w:rFonts w:ascii="Arial" w:hAnsi="Arial" w:cs="Arial"/>
          <w:color w:val="auto"/>
          <w:sz w:val="20"/>
          <w:szCs w:val="20"/>
        </w:rPr>
        <w:t>För 2015 beräknas förvaltningsresultatet, det vill säga resulta</w:t>
      </w:r>
      <w:r w:rsidRPr="00325620">
        <w:rPr>
          <w:rFonts w:ascii="Arial" w:hAnsi="Arial" w:cs="Arial"/>
          <w:color w:val="auto"/>
          <w:sz w:val="20"/>
          <w:szCs w:val="20"/>
        </w:rPr>
        <w:softHyphen/>
        <w:t>tet före omvärderingar och skatt, med nuvarande fastighets</w:t>
      </w:r>
      <w:r w:rsidRPr="00325620">
        <w:rPr>
          <w:rFonts w:ascii="Arial" w:hAnsi="Arial" w:cs="Arial"/>
          <w:color w:val="auto"/>
          <w:sz w:val="20"/>
          <w:szCs w:val="20"/>
        </w:rPr>
        <w:softHyphen/>
        <w:t>bestånd och tillkännagivna förvärv och försäljningar uppgå till 880 miljoner kronor. Tidigare lämnad prognos uppgick till 860 miljoner kronor och tillkännagavs vid avlämnande av delårs</w:t>
      </w:r>
      <w:r w:rsidRPr="00325620">
        <w:rPr>
          <w:rFonts w:ascii="Arial" w:hAnsi="Arial" w:cs="Arial"/>
          <w:color w:val="auto"/>
          <w:sz w:val="20"/>
          <w:szCs w:val="20"/>
        </w:rPr>
        <w:softHyphen/>
        <w:t>rapport för januari–juni 2015</w:t>
      </w:r>
    </w:p>
    <w:p w:rsidR="005A0972" w:rsidRPr="004361DE" w:rsidRDefault="005A0972" w:rsidP="004361DE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szCs w:val="20"/>
        </w:rPr>
      </w:pPr>
    </w:p>
    <w:p w:rsidR="005A0972" w:rsidRPr="00CC5188" w:rsidRDefault="005A0972" w:rsidP="005A0972">
      <w:pPr>
        <w:rPr>
          <w:szCs w:val="20"/>
        </w:rPr>
      </w:pPr>
      <w:r w:rsidRPr="00E958BC">
        <w:rPr>
          <w:b/>
          <w:szCs w:val="20"/>
        </w:rPr>
        <w:t>För ytterligare information</w:t>
      </w:r>
      <w:r>
        <w:rPr>
          <w:szCs w:val="20"/>
        </w:rPr>
        <w:t>, vänligen kontakta VD David Mindus på telefon 08 – 545 83 545.</w:t>
      </w:r>
    </w:p>
    <w:p w:rsidR="00C87CAE" w:rsidRDefault="00C87CAE" w:rsidP="004361DE">
      <w:pPr>
        <w:spacing w:after="0" w:line="259" w:lineRule="auto"/>
        <w:ind w:left="0" w:right="0" w:firstLine="0"/>
        <w:jc w:val="both"/>
      </w:pPr>
    </w:p>
    <w:p w:rsidR="009322FB" w:rsidRPr="006214EC" w:rsidRDefault="004361DE" w:rsidP="009322FB">
      <w:pPr>
        <w:spacing w:after="0" w:line="259" w:lineRule="auto"/>
        <w:ind w:left="0" w:right="-701" w:firstLine="0"/>
        <w:jc w:val="both"/>
        <w:rPr>
          <w:b/>
          <w:i/>
          <w:color w:val="auto"/>
        </w:rPr>
      </w:pPr>
      <w:r w:rsidRPr="006214EC">
        <w:rPr>
          <w:b/>
          <w:i/>
          <w:color w:val="auto"/>
        </w:rPr>
        <w:t xml:space="preserve">Om AB </w:t>
      </w:r>
      <w:proofErr w:type="spellStart"/>
      <w:r w:rsidRPr="006214EC">
        <w:rPr>
          <w:b/>
          <w:i/>
          <w:color w:val="auto"/>
        </w:rPr>
        <w:t>Sagax</w:t>
      </w:r>
      <w:proofErr w:type="spellEnd"/>
      <w:r w:rsidRPr="006214EC">
        <w:rPr>
          <w:b/>
          <w:i/>
          <w:color w:val="auto"/>
        </w:rPr>
        <w:t xml:space="preserve"> </w:t>
      </w:r>
    </w:p>
    <w:p w:rsidR="00C87CAE" w:rsidRDefault="004361DE" w:rsidP="009322FB">
      <w:pPr>
        <w:spacing w:after="0" w:line="259" w:lineRule="auto"/>
        <w:ind w:left="0" w:right="0" w:firstLine="0"/>
        <w:jc w:val="both"/>
      </w:pPr>
      <w:r w:rsidRPr="006214EC">
        <w:rPr>
          <w:i/>
          <w:color w:val="auto"/>
        </w:rPr>
        <w:t xml:space="preserve">AB </w:t>
      </w:r>
      <w:proofErr w:type="spellStart"/>
      <w:r w:rsidRPr="006214EC">
        <w:rPr>
          <w:i/>
          <w:color w:val="auto"/>
        </w:rPr>
        <w:t>Sagax</w:t>
      </w:r>
      <w:proofErr w:type="spellEnd"/>
      <w:r w:rsidRPr="006214EC">
        <w:rPr>
          <w:i/>
          <w:color w:val="auto"/>
        </w:rPr>
        <w:t xml:space="preserve"> är ett fastighetsbolag med affärsidé att investera i kommersiella fastigheter främst inom segmentet lager och lätt industri. </w:t>
      </w:r>
      <w:proofErr w:type="spellStart"/>
      <w:r w:rsidRPr="006214EC">
        <w:rPr>
          <w:i/>
          <w:color w:val="auto"/>
        </w:rPr>
        <w:t>Sagax</w:t>
      </w:r>
      <w:proofErr w:type="spellEnd"/>
      <w:r w:rsidRPr="006214EC">
        <w:rPr>
          <w:i/>
          <w:color w:val="auto"/>
        </w:rPr>
        <w:t xml:space="preserve"> fasti</w:t>
      </w:r>
      <w:r w:rsidR="00325620">
        <w:rPr>
          <w:i/>
          <w:color w:val="auto"/>
        </w:rPr>
        <w:t>ghetsinnehav uppgick per 30 september</w:t>
      </w:r>
      <w:r w:rsidR="006214EC" w:rsidRPr="006214EC">
        <w:rPr>
          <w:i/>
          <w:color w:val="auto"/>
        </w:rPr>
        <w:t xml:space="preserve"> 2015 till 1 7</w:t>
      </w:r>
      <w:r w:rsidR="00325620">
        <w:rPr>
          <w:i/>
          <w:color w:val="auto"/>
        </w:rPr>
        <w:t>89</w:t>
      </w:r>
      <w:r w:rsidR="006214EC" w:rsidRPr="006214EC">
        <w:rPr>
          <w:i/>
          <w:color w:val="auto"/>
        </w:rPr>
        <w:t> </w:t>
      </w:r>
      <w:r w:rsidR="00325620">
        <w:rPr>
          <w:i/>
          <w:color w:val="auto"/>
        </w:rPr>
        <w:t>000 kvadratmeter fördelat på 203</w:t>
      </w:r>
      <w:r w:rsidRPr="006214EC">
        <w:rPr>
          <w:i/>
          <w:color w:val="auto"/>
        </w:rPr>
        <w:t xml:space="preserve"> fastigheter. AB </w:t>
      </w:r>
      <w:proofErr w:type="spellStart"/>
      <w:r w:rsidRPr="006214EC">
        <w:rPr>
          <w:i/>
          <w:color w:val="auto"/>
        </w:rPr>
        <w:t>Sagax</w:t>
      </w:r>
      <w:proofErr w:type="spellEnd"/>
      <w:r w:rsidRPr="006214EC">
        <w:rPr>
          <w:i/>
          <w:color w:val="auto"/>
        </w:rPr>
        <w:t xml:space="preserve"> (</w:t>
      </w:r>
      <w:proofErr w:type="spellStart"/>
      <w:r w:rsidRPr="006214EC">
        <w:rPr>
          <w:i/>
          <w:color w:val="auto"/>
        </w:rPr>
        <w:t>publ</w:t>
      </w:r>
      <w:proofErr w:type="spellEnd"/>
      <w:r w:rsidRPr="006214EC">
        <w:rPr>
          <w:i/>
          <w:color w:val="auto"/>
        </w:rPr>
        <w:t>) är noterat på Nasdaq Stockholm, Mid Cap. Mer information finns på www.sagax.se</w:t>
      </w:r>
      <w:r>
        <w:rPr>
          <w:i/>
        </w:rPr>
        <w:t xml:space="preserve">. </w:t>
      </w:r>
    </w:p>
    <w:p w:rsidR="00C87CAE" w:rsidRDefault="004361DE">
      <w:pPr>
        <w:spacing w:after="0" w:line="259" w:lineRule="auto"/>
        <w:ind w:left="0" w:right="0" w:firstLine="0"/>
        <w:rPr>
          <w:i/>
        </w:rPr>
      </w:pPr>
      <w:r>
        <w:rPr>
          <w:i/>
        </w:rPr>
        <w:t xml:space="preserve">  </w:t>
      </w:r>
    </w:p>
    <w:p w:rsidR="00546EAB" w:rsidRDefault="00546EAB">
      <w:pPr>
        <w:spacing w:after="0" w:line="259" w:lineRule="auto"/>
        <w:ind w:left="0" w:right="0" w:firstLine="0"/>
        <w:rPr>
          <w:i/>
        </w:rPr>
      </w:pPr>
    </w:p>
    <w:p w:rsidR="00546EAB" w:rsidRDefault="00546EAB">
      <w:pPr>
        <w:spacing w:after="0" w:line="259" w:lineRule="auto"/>
        <w:ind w:left="0" w:right="0" w:firstLine="0"/>
        <w:rPr>
          <w:i/>
        </w:rPr>
      </w:pPr>
    </w:p>
    <w:p w:rsidR="00546EAB" w:rsidRDefault="00546EAB">
      <w:pPr>
        <w:spacing w:after="0" w:line="259" w:lineRule="auto"/>
        <w:ind w:left="0" w:right="0" w:firstLine="0"/>
      </w:pPr>
      <w:bookmarkStart w:id="0" w:name="_GoBack"/>
      <w:bookmarkEnd w:id="0"/>
    </w:p>
    <w:p w:rsidR="00C87CAE" w:rsidRDefault="004361DE" w:rsidP="000B250F">
      <w:pPr>
        <w:spacing w:after="0" w:line="259" w:lineRule="auto"/>
        <w:ind w:left="179" w:right="0" w:firstLine="0"/>
        <w:jc w:val="center"/>
      </w:pPr>
      <w:r>
        <w:rPr>
          <w:sz w:val="16"/>
        </w:rPr>
        <w:t xml:space="preserve"> Informationen är sådan som AB </w:t>
      </w:r>
      <w:proofErr w:type="spellStart"/>
      <w:r>
        <w:rPr>
          <w:sz w:val="16"/>
        </w:rPr>
        <w:t>Sagax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publ</w:t>
      </w:r>
      <w:proofErr w:type="spellEnd"/>
      <w:r>
        <w:rPr>
          <w:sz w:val="16"/>
        </w:rPr>
        <w:t xml:space="preserve">) ska offentliggöra enligt lagen om värdepappersmarknaden och/eller lag om </w:t>
      </w:r>
      <w:proofErr w:type="gramStart"/>
      <w:r>
        <w:rPr>
          <w:sz w:val="16"/>
        </w:rPr>
        <w:t>handel med finansiella instrument.</w:t>
      </w:r>
      <w:proofErr w:type="gramEnd"/>
      <w:r>
        <w:rPr>
          <w:sz w:val="16"/>
        </w:rPr>
        <w:t xml:space="preserve"> Informationen lämnades för offentliggörande den</w:t>
      </w:r>
      <w:r w:rsidR="009322FB">
        <w:rPr>
          <w:sz w:val="16"/>
        </w:rPr>
        <w:t xml:space="preserve"> 2</w:t>
      </w:r>
      <w:r w:rsidR="00325620">
        <w:rPr>
          <w:sz w:val="16"/>
        </w:rPr>
        <w:t xml:space="preserve">2 oktober </w:t>
      </w:r>
      <w:r w:rsidRPr="00FF2EA2">
        <w:rPr>
          <w:color w:val="auto"/>
          <w:sz w:val="16"/>
        </w:rPr>
        <w:t xml:space="preserve">2015 kl. </w:t>
      </w:r>
      <w:r w:rsidR="009322FB">
        <w:rPr>
          <w:color w:val="auto"/>
          <w:sz w:val="16"/>
        </w:rPr>
        <w:t>08</w:t>
      </w:r>
      <w:r w:rsidRPr="00FF2EA2">
        <w:rPr>
          <w:color w:val="auto"/>
          <w:sz w:val="16"/>
        </w:rPr>
        <w:t xml:space="preserve">.00. </w:t>
      </w:r>
    </w:p>
    <w:sectPr w:rsidR="00C87CAE" w:rsidSect="000B250F">
      <w:pgSz w:w="11900" w:h="16840"/>
      <w:pgMar w:top="1416" w:right="1410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utiger LT Std 45 Light">
    <w:altName w:val="Frutiger LT Std 45 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A1992"/>
    <w:multiLevelType w:val="hybridMultilevel"/>
    <w:tmpl w:val="3DB23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657D4"/>
    <w:multiLevelType w:val="hybridMultilevel"/>
    <w:tmpl w:val="4C362D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5DFA"/>
    <w:multiLevelType w:val="hybridMultilevel"/>
    <w:tmpl w:val="035412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041AF"/>
    <w:multiLevelType w:val="hybridMultilevel"/>
    <w:tmpl w:val="4D320A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94879"/>
    <w:multiLevelType w:val="hybridMultilevel"/>
    <w:tmpl w:val="F9640E7C"/>
    <w:lvl w:ilvl="0" w:tplc="06462866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28504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A6479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2A183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78770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EC40C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B0A6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ACD2C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52727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704732"/>
    <w:multiLevelType w:val="hybridMultilevel"/>
    <w:tmpl w:val="0816AB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B79AF"/>
    <w:multiLevelType w:val="hybridMultilevel"/>
    <w:tmpl w:val="E13EB7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73FC3"/>
    <w:multiLevelType w:val="hybridMultilevel"/>
    <w:tmpl w:val="C764E2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16A71"/>
    <w:multiLevelType w:val="hybridMultilevel"/>
    <w:tmpl w:val="627EF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217B0"/>
    <w:multiLevelType w:val="hybridMultilevel"/>
    <w:tmpl w:val="DAE63C26"/>
    <w:lvl w:ilvl="0" w:tplc="FD1CB3A8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AA2F3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682EC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BE0C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52212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5AB90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B8B8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E4C1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14F56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AE"/>
    <w:rsid w:val="000B250F"/>
    <w:rsid w:val="00325620"/>
    <w:rsid w:val="004361DE"/>
    <w:rsid w:val="00546EAB"/>
    <w:rsid w:val="005A0972"/>
    <w:rsid w:val="006214EC"/>
    <w:rsid w:val="009322FB"/>
    <w:rsid w:val="00B047D0"/>
    <w:rsid w:val="00C87CAE"/>
    <w:rsid w:val="00F67051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93461-4D2B-444B-9B5F-C05FCA69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9" w:lineRule="auto"/>
      <w:ind w:left="10" w:right="293" w:hanging="10"/>
    </w:pPr>
    <w:rPr>
      <w:rFonts w:ascii="Arial" w:eastAsia="Arial" w:hAnsi="Arial" w:cs="Arial"/>
      <w:color w:val="000000"/>
      <w:sz w:val="20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0"/>
      <w:ind w:left="10" w:right="705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Pr>
      <w:rFonts w:ascii="Arial" w:eastAsia="Arial" w:hAnsi="Arial" w:cs="Arial"/>
      <w:b/>
      <w:color w:val="000000"/>
      <w:sz w:val="20"/>
    </w:rPr>
  </w:style>
  <w:style w:type="character" w:customStyle="1" w:styleId="Rubrik1Char">
    <w:name w:val="Rubrik 1 Char"/>
    <w:link w:val="Rubrik1"/>
    <w:rPr>
      <w:rFonts w:ascii="Arial" w:eastAsia="Arial" w:hAnsi="Arial" w:cs="Arial"/>
      <w:b/>
      <w:color w:val="000000"/>
      <w:sz w:val="24"/>
    </w:rPr>
  </w:style>
  <w:style w:type="paragraph" w:styleId="Liststycke">
    <w:name w:val="List Paragraph"/>
    <w:basedOn w:val="Normal"/>
    <w:uiPriority w:val="34"/>
    <w:qFormat/>
    <w:rsid w:val="004361D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A0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0972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322FB"/>
    <w:pPr>
      <w:autoSpaceDE w:val="0"/>
      <w:autoSpaceDN w:val="0"/>
      <w:adjustRightInd w:val="0"/>
      <w:spacing w:after="0" w:line="240" w:lineRule="auto"/>
    </w:pPr>
    <w:rPr>
      <w:rFonts w:ascii="Frutiger LT Std 45 Light" w:hAnsi="Frutiger LT Std 45 Light" w:cs="Frutiger LT Std 45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9322FB"/>
    <w:pPr>
      <w:spacing w:line="157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9322FB"/>
    <w:pPr>
      <w:spacing w:line="17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9322FB"/>
    <w:rPr>
      <w:rFonts w:cs="Frutiger LT Std 45 Ligh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C8EFB-EB92-4EA1-8203-284161D2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Pressmeddelande (3) 2015</vt:lpstr>
    </vt:vector>
  </TitlesOfParts>
  <Company>Nordisk Data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Pressmeddelande (3) 2015</dc:title>
  <dc:subject/>
  <dc:creator>Pela</dc:creator>
  <cp:keywords/>
  <cp:lastModifiedBy>Peter Larsen</cp:lastModifiedBy>
  <cp:revision>3</cp:revision>
  <cp:lastPrinted>2015-08-25T07:50:00Z</cp:lastPrinted>
  <dcterms:created xsi:type="dcterms:W3CDTF">2015-10-21T13:43:00Z</dcterms:created>
  <dcterms:modified xsi:type="dcterms:W3CDTF">2015-10-21T13:47:00Z</dcterms:modified>
</cp:coreProperties>
</file>